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progress-notes"/>
    <w:p>
      <w:pPr>
        <w:pStyle w:val="Heading1"/>
      </w:pPr>
      <w:r>
        <w:t xml:space="preserve">Progress Notes</w:t>
      </w:r>
    </w:p>
    <w:p>
      <w:pPr>
        <w:pStyle w:val="FirstParagraph"/>
      </w:pPr>
      <w:r>
        <w:t xml:space="preserve">LUTS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LUTS: Lower Urinary Tract Symptoms, indicating a lower urinary tract infection</w:t>
      </w:r>
    </w:p>
    <w:bookmarkEnd w:id="20"/>
    <w:bookmarkStart w:id="21" w:name="nursing"/>
    <w:p>
      <w:pPr>
        <w:pStyle w:val="Heading1"/>
      </w:pPr>
      <w:r>
        <w:t xml:space="preserve">Nursing</w:t>
      </w:r>
    </w:p>
    <w:p>
      <w:pPr>
        <w:pStyle w:val="FirstParagraph"/>
      </w:pPr>
      <w:r>
        <w:t xml:space="preserve">The patient complains of difficulty urinating, feeling the urge to urinate but unable to do so.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Consistent with symptoms or signs of a symptomatic urinary tract infection: difficulty or painful urination (dysuria)</w:t>
      </w:r>
    </w:p>
    <w:bookmarkEnd w:id="21"/>
    <w:bookmarkStart w:id="22" w:name="Xdcb1bdb4bbcb80b5569ed8d80cf4d9620260c1b"/>
    <w:p>
      <w:pPr>
        <w:pStyle w:val="Heading1"/>
      </w:pPr>
      <w:r>
        <w:t xml:space="preserve">Case Urinary Tract Infection Determination</w:t>
      </w:r>
    </w:p>
    <w:p>
      <w:pPr>
        <w:numPr>
          <w:ilvl w:val="0"/>
          <w:numId w:val="1001"/>
        </w:numPr>
        <w:pStyle w:val="Compact"/>
      </w:pPr>
      <w:r>
        <w:t xml:space="preserve">No catheter or catheter in place for less than 2 days</w:t>
      </w:r>
    </w:p>
    <w:p>
      <w:pPr>
        <w:numPr>
          <w:ilvl w:val="0"/>
          <w:numId w:val="1001"/>
        </w:numPr>
        <w:pStyle w:val="Compact"/>
      </w:pPr>
      <w:r>
        <w:t xml:space="preserve">Patient exhibits UTI symptoms: difficulty or painful urination (dysuria), Lower Urinary Tract Symptoms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Determined as: Non-catheter-associated urinary tract infection (Non-CAUTI)</w:t>
      </w:r>
    </w:p>
    <w:bookmarkEnd w:id="22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2024-10-23T15:17:49Z</dcterms:created>
  <dcterms:modified xsi:type="dcterms:W3CDTF">2024-10-23T15:17:49Z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